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810 20 203 vom 9. Juni 2021</w:t>
      </w:r>
    </w:p>
    <w:p>
      <w:r>
        <w:t>BL Gerichte, 2021-06-09, DE</w:t>
      </w:r>
    </w:p>
    <w:p>
      <w:r>
        <w:rPr>
          <w:b/>
        </w:rPr>
        <w:t xml:space="preserve">Quelle: </w:t>
      </w:r>
      <w:r>
        <w:t>https://mcp.opencaselaw.ch/entscheid/bl_gerichte_810 20 203</w:t>
      </w:r>
    </w:p>
    <w:p>
      <w:r>
        <w:t>FR: BL_GERICHTE 810 20 203 du 9 juin 2021</w:t>
      </w:r>
    </w:p>
    <w:p>
      <w:r>
        <w:t>IT: BL_GERICHTE 810 20 203 del 9 giugno 2021</w:t>
      </w:r>
    </w:p>
    <w:p>
      <w:pPr>
        <w:pStyle w:val="Heading2"/>
      </w:pPr>
      <w:r>
        <w:t>Regeste</w:t>
      </w:r>
    </w:p>
    <w:p>
      <w:r>
        <w:t>Verkehrsanordnung (RRB Nr. 1031 vom 11. August 2020)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Zur Neuverlegung der Kosten des vorinstanzlichen Verfahrens wird die Angelegenheit an den Regierungsrat zurückgewiesen.</w:t>
      </w:r>
    </w:p>
    <w:p>
      <w:r>
        <w:rPr>
          <w:b/>
        </w:rPr>
        <w:t>E. 3</w:t>
      </w:r>
    </w:p>
    <w:p>
      <w:r>
        <w:t>Die Verfahrenskosten in der Höhe von Fr. 2'500.-- werden dem Regierungsrat auferlegt. Der Kostenvorschuss in der Höhe von Fr. 2'200.-- wird der Beschwerdeführerin zurückerstattet.</w:t>
      </w:r>
    </w:p>
    <w:p>
      <w:r>
        <w:rPr>
          <w:b/>
        </w:rPr>
        <w:t>E. 4</w:t>
      </w:r>
    </w:p>
    <w:p>
      <w:r>
        <w:t>Der Beschwerdeführerin wird eine Parteientschädigung in der Höhe von Fr. 5'667.40 (inkl. Auslagen und 7.7% MWST) zulasten des Regierungsrats zugesprochen. Präsidentin Gerichtsschreiber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